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3074BC" w:rsidRDefault="00BC3921" w:rsidP="00BC3921">
      <w:pPr>
        <w:spacing w:line="276" w:lineRule="auto"/>
        <w:rPr>
          <w:rFonts w:ascii="Arial" w:hAnsi="Arial" w:cs="Arial"/>
          <w:color w:val="000000" w:themeColor="text1"/>
          <w:sz w:val="18"/>
          <w:szCs w:val="18"/>
          <w:lang w:val="de-DE"/>
        </w:rPr>
      </w:pPr>
      <w:r w:rsidRPr="003074BC">
        <w:rPr>
          <w:rFonts w:ascii="Arial" w:hAnsi="Arial"/>
          <w:color w:val="000000" w:themeColor="text1"/>
          <w:sz w:val="18"/>
          <w:szCs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3074BC">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rsidR="00CE37EE" w:rsidRDefault="00CE37EE" w:rsidP="00431CFD">
      <w:pPr>
        <w:pStyle w:val="berschrift1"/>
        <w:spacing w:before="0" w:after="0" w:line="240" w:lineRule="auto"/>
        <w:rPr>
          <w:rFonts w:cs="Arial"/>
          <w:color w:val="000000" w:themeColor="text1"/>
          <w:szCs w:val="24"/>
        </w:rPr>
      </w:pPr>
    </w:p>
    <w:p w:rsidR="00431CFD" w:rsidRDefault="007E21D9" w:rsidP="00431CFD">
      <w:pPr>
        <w:pStyle w:val="berschrift1"/>
        <w:spacing w:before="0" w:after="0" w:line="240" w:lineRule="auto"/>
        <w:rPr>
          <w:rFonts w:cs="Arial"/>
          <w:color w:val="000000" w:themeColor="text1"/>
          <w:szCs w:val="24"/>
        </w:rPr>
      </w:pPr>
      <w:r>
        <w:rPr>
          <w:color w:val="000000" w:themeColor="text1"/>
          <w:szCs w:val="24"/>
        </w:rPr>
        <w:t>Meusburger enables universal die set monitoring</w:t>
      </w:r>
    </w:p>
    <w:p w:rsidR="00431CFD" w:rsidRPr="00431CFD" w:rsidRDefault="00431CFD" w:rsidP="00431CFD">
      <w:pPr>
        <w:rPr>
          <w:lang w:eastAsia="en-US"/>
        </w:rPr>
      </w:pPr>
    </w:p>
    <w:p w:rsidR="007F74B9" w:rsidRPr="00861E54" w:rsidRDefault="007F74B9" w:rsidP="007F74B9">
      <w:pPr>
        <w:pStyle w:val="pbigcenter"/>
        <w:spacing w:before="0" w:beforeAutospacing="0" w:after="0" w:afterAutospacing="0"/>
        <w:rPr>
          <w:rFonts w:ascii="Arial" w:hAnsi="Arial" w:cs="Arial"/>
          <w:b/>
          <w:color w:val="000000" w:themeColor="text1"/>
          <w:sz w:val="20"/>
          <w:szCs w:val="20"/>
        </w:rPr>
      </w:pPr>
      <w:r>
        <w:rPr>
          <w:rFonts w:ascii="Arial" w:hAnsi="Arial"/>
          <w:b/>
          <w:color w:val="000000" w:themeColor="text1"/>
          <w:sz w:val="20"/>
          <w:szCs w:val="20"/>
        </w:rPr>
        <w:t>The logic distributors by Meusburger in combination with the new limit switches with roller or dome plunger enable universal die set monitoring. The sensors of the limit switches are able to collect signals from different installation positions due to the adjustable roller. The manifold combines several of these signals without voltage drop. Simple and quick installation with maximum flexibility is ensured by the compact design and the many plug-in options.</w:t>
      </w:r>
    </w:p>
    <w:p w:rsidR="007F74B9" w:rsidRPr="007F74B9" w:rsidRDefault="007F74B9" w:rsidP="007F74B9">
      <w:pPr>
        <w:pStyle w:val="pdefault"/>
        <w:rPr>
          <w:rFonts w:ascii="Arial" w:hAnsi="Arial" w:cs="Arial"/>
          <w:color w:val="000000" w:themeColor="text1"/>
          <w:sz w:val="20"/>
          <w:szCs w:val="20"/>
        </w:rPr>
      </w:pPr>
      <w:r>
        <w:rPr>
          <w:rFonts w:ascii="Arial" w:hAnsi="Arial"/>
          <w:color w:val="000000" w:themeColor="text1"/>
          <w:sz w:val="20"/>
          <w:szCs w:val="20"/>
        </w:rPr>
        <w:t xml:space="preserve">The growing complexity of die and injection moulding processes makes the monitoring of processes increasingly difficult. More and more signals have to be collected in areas that are sometimes difficult to reach. Meusburger has long offered an intelligent solution for more clarity with their logic distributor and appropriate limit switches. For even more design freedom, the E 6574 Logic distributor for sensors is now also available with eight connections. The operation and switching state is also clearly visible in the new product by means of integrated LEDs. Several sensor signals are merged without voltage drop via a logic gate. The E 6574 Logic distributor is available as a simple AND/OR version. </w:t>
      </w:r>
    </w:p>
    <w:p w:rsidR="00431CFD" w:rsidRPr="00861E54" w:rsidRDefault="007F74B9" w:rsidP="00861E54">
      <w:pPr>
        <w:pStyle w:val="pdefault"/>
        <w:rPr>
          <w:rFonts w:ascii="Arial" w:hAnsi="Arial" w:cs="Arial"/>
          <w:color w:val="000000" w:themeColor="text1"/>
          <w:sz w:val="20"/>
          <w:szCs w:val="20"/>
        </w:rPr>
      </w:pPr>
      <w:r>
        <w:rPr>
          <w:rFonts w:ascii="Arial" w:hAnsi="Arial"/>
          <w:color w:val="000000" w:themeColor="text1"/>
          <w:sz w:val="20"/>
          <w:szCs w:val="20"/>
        </w:rPr>
        <w:t>The new E 6525 and E6526 Limit switches with roller or dome plungers also support a more flexible design of increasingly complex dies. The sensors are equipped with adjustable rollers and therefore suitable for a wide variety of installation positions. In addition, the limit switches are versatile thanks to various electrical connection options and have a long service life due to the robust housing with ingress protection IP67. In summary, these new products from Meusburger guarantee universal and clear die set monitoring.</w:t>
      </w:r>
    </w:p>
    <w:p w:rsidR="00431CFD" w:rsidRDefault="00C73106" w:rsidP="00E02A57">
      <w:pPr>
        <w:autoSpaceDE w:val="0"/>
        <w:autoSpaceDN w:val="0"/>
        <w:adjustRightInd w:val="0"/>
        <w:jc w:val="both"/>
        <w:rPr>
          <w:rFonts w:ascii="Arial" w:eastAsiaTheme="minorHAnsi" w:hAnsi="Arial" w:cs="Arial"/>
          <w:sz w:val="22"/>
          <w:szCs w:val="22"/>
        </w:rPr>
      </w:pPr>
      <w:r>
        <w:rPr>
          <w:rFonts w:ascii="Arial" w:hAnsi="Arial"/>
          <w:b/>
          <w:noProof/>
          <w:color w:val="000000" w:themeColor="text1"/>
          <w:sz w:val="20"/>
          <w:szCs w:val="20"/>
          <w:lang w:val="de-AT" w:eastAsia="de-AT"/>
        </w:rPr>
        <w:drawing>
          <wp:inline distT="0" distB="0" distL="0" distR="0">
            <wp:extent cx="3812300" cy="2524126"/>
            <wp:effectExtent l="0" t="0" r="0" b="0"/>
            <wp:docPr id="3" name="Grafik 3" descr="G:\Marketing\Meusburger\10_Presse\PR_International\S\2018\2018_09_Elektrokomponenten\PIC_PRO_PRE_Elektrokomponenten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S\2018\2018_09_Elektrokomponenten\PIC_PRO_PRE_Elektrokomponenten_#SALL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5771" cy="2526424"/>
                    </a:xfrm>
                    <a:prstGeom prst="rect">
                      <a:avLst/>
                    </a:prstGeom>
                    <a:noFill/>
                    <a:ln>
                      <a:noFill/>
                    </a:ln>
                  </pic:spPr>
                </pic:pic>
              </a:graphicData>
            </a:graphic>
          </wp:inline>
        </w:drawing>
      </w:r>
      <w:bookmarkStart w:id="0" w:name="_GoBack"/>
      <w:bookmarkEnd w:id="0"/>
    </w:p>
    <w:p w:rsidR="00EC6E61" w:rsidRDefault="00EC6E61" w:rsidP="00E02A57">
      <w:pPr>
        <w:autoSpaceDE w:val="0"/>
        <w:autoSpaceDN w:val="0"/>
        <w:adjustRightInd w:val="0"/>
        <w:jc w:val="both"/>
        <w:rPr>
          <w:rFonts w:ascii="Arial" w:eastAsiaTheme="minorHAnsi" w:hAnsi="Arial" w:cs="Arial"/>
          <w:sz w:val="22"/>
          <w:szCs w:val="22"/>
          <w:lang w:val="de-AT" w:eastAsia="en-US" w:bidi="en-US"/>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C57393" w:rsidRPr="00384A17" w:rsidRDefault="00E02A57" w:rsidP="007B2530">
      <w:pPr>
        <w:autoSpaceDE w:val="0"/>
        <w:autoSpaceDN w:val="0"/>
        <w:adjustRightInd w:val="0"/>
        <w:rPr>
          <w:rFonts w:ascii="Arial" w:hAnsi="Arial" w:cs="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Pr>
          <w:rFonts w:ascii="Arial" w:hAnsi="Arial"/>
          <w:i/>
          <w:color w:val="000000" w:themeColor="text1"/>
          <w:sz w:val="20"/>
          <w:szCs w:val="20"/>
        </w:rPr>
        <w:t>The tried and trusted logic distributor with eight connections in combination with the new limit switches enables universal die set monitoring.</w:t>
      </w:r>
    </w:p>
    <w:p w:rsidR="00EC6E61" w:rsidRDefault="00EC6E61" w:rsidP="00075062">
      <w:pPr>
        <w:rPr>
          <w:rFonts w:ascii="Arial" w:hAnsi="Arial" w:cs="Arial"/>
          <w:b/>
          <w:color w:val="000000" w:themeColor="text1"/>
          <w:sz w:val="28"/>
          <w:szCs w:val="28"/>
        </w:rPr>
      </w:pPr>
    </w:p>
    <w:p w:rsidR="00E07A04" w:rsidRDefault="00E07A04" w:rsidP="00E07A04">
      <w:pPr>
        <w:pStyle w:val="Kopfzeile"/>
        <w:tabs>
          <w:tab w:val="left" w:pos="708"/>
        </w:tabs>
        <w:rPr>
          <w:rFonts w:cs="Arial"/>
          <w:b/>
          <w:bCs/>
          <w:color w:val="000000"/>
          <w:sz w:val="16"/>
          <w:szCs w:val="16"/>
        </w:rPr>
      </w:pPr>
      <w:r>
        <w:rPr>
          <w:b/>
          <w:bCs/>
          <w:color w:val="000000"/>
          <w:sz w:val="16"/>
          <w:szCs w:val="16"/>
        </w:rPr>
        <w:t>Meusburger – Setting Standards</w:t>
      </w:r>
    </w:p>
    <w:p w:rsidR="00E07A04" w:rsidRPr="003074BC" w:rsidRDefault="00E07A04" w:rsidP="00E07A04">
      <w:pPr>
        <w:pStyle w:val="Kopfzeile"/>
        <w:tabs>
          <w:tab w:val="left" w:pos="708"/>
        </w:tabs>
        <w:rPr>
          <w:rFonts w:cs="Arial"/>
          <w:b/>
          <w:bCs/>
          <w:color w:val="000000"/>
          <w:sz w:val="16"/>
          <w:szCs w:val="16"/>
        </w:rPr>
      </w:pPr>
    </w:p>
    <w:p w:rsidR="00861E54" w:rsidRPr="00B63202" w:rsidRDefault="00E07A04" w:rsidP="00B63202">
      <w:pPr>
        <w:jc w:val="both"/>
        <w:rPr>
          <w:rFonts w:ascii="Arial" w:hAnsi="Arial" w:cs="Arial"/>
          <w:bCs/>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991C48">
        <w:tc>
          <w:tcPr>
            <w:tcW w:w="3331" w:type="dxa"/>
          </w:tcPr>
          <w:p w:rsidR="00E02A57" w:rsidRPr="003074BC"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+ 43 5574 6706-</w:t>
            </w:r>
            <w:r w:rsidR="00A26E44">
              <w:rPr>
                <w:rFonts w:ascii="Arial" w:hAnsi="Arial"/>
                <w:color w:val="000000" w:themeColor="text1"/>
                <w:sz w:val="16"/>
                <w:szCs w:val="20"/>
              </w:rPr>
              <w:t>0</w:t>
            </w:r>
          </w:p>
          <w:p w:rsidR="00E02A57" w:rsidRPr="0040715A" w:rsidRDefault="00E02A57" w:rsidP="00E02A57">
            <w:pPr>
              <w:autoSpaceDE w:val="0"/>
              <w:autoSpaceDN w:val="0"/>
              <w:adjustRightInd w:val="0"/>
              <w:jc w:val="both"/>
            </w:pPr>
            <w:r>
              <w:rPr>
                <w:rFonts w:ascii="Arial" w:hAnsi="Arial"/>
                <w:color w:val="000000" w:themeColor="text1"/>
                <w:sz w:val="16"/>
                <w:szCs w:val="20"/>
              </w:rPr>
              <w:t>Email: press@meusburger.com</w:t>
            </w:r>
            <w:r w:rsidR="006C133E">
              <w:fldChar w:fldCharType="begin"/>
            </w:r>
            <w:r w:rsidR="002114BC" w:rsidRPr="006B7BDF">
              <w:instrText>presse@meusburger.com"</w:instrText>
            </w:r>
            <w:r w:rsidR="006C133E">
              <w:fldChar w:fldCharType="separate"/>
            </w:r>
            <w:r w:rsidRPr="003E596B">
              <w:rPr>
                <w:rStyle w:val="Hyperlink"/>
                <w:rFonts w:ascii="Arial" w:hAnsi="Arial" w:cs="Arial"/>
                <w:sz w:val="16"/>
                <w:szCs w:val="20"/>
              </w:rPr>
              <w:t>presse@meusburger.com</w:t>
            </w:r>
            <w:r w:rsidR="006C133E">
              <w:fldChar w:fldCharType="end"/>
            </w:r>
          </w:p>
          <w:p w:rsidR="00CE6056" w:rsidRPr="00FE3310" w:rsidRDefault="00B63202" w:rsidP="00E02A57">
            <w:pPr>
              <w:autoSpaceDE w:val="0"/>
              <w:autoSpaceDN w:val="0"/>
              <w:adjustRightInd w:val="0"/>
              <w:jc w:val="both"/>
              <w:rPr>
                <w:rFonts w:ascii="Arial" w:hAnsi="Arial" w:cs="Arial"/>
                <w:color w:val="000000" w:themeColor="text1"/>
                <w:sz w:val="16"/>
                <w:szCs w:val="20"/>
              </w:rPr>
            </w:pPr>
            <w:hyperlink r:id="rId13" w:history="1">
              <w:r w:rsidR="00474105">
                <w:rPr>
                  <w:rStyle w:val="Hyperlink"/>
                  <w:rFonts w:ascii="Arial" w:hAnsi="Arial"/>
                  <w:sz w:val="16"/>
                  <w:szCs w:val="20"/>
                </w:rPr>
                <w:t>http://www.meusburger.com/en/press/press.html</w:t>
              </w:r>
            </w:hyperlink>
          </w:p>
          <w:p w:rsidR="00E02A57" w:rsidRPr="00640316" w:rsidRDefault="00E02A57" w:rsidP="00E02A57">
            <w:pPr>
              <w:autoSpaceDE w:val="0"/>
              <w:autoSpaceDN w:val="0"/>
              <w:adjustRightInd w:val="0"/>
              <w:jc w:val="both"/>
              <w:rPr>
                <w:rFonts w:ascii="Arial" w:hAnsi="Arial" w:cs="Arial"/>
                <w:b/>
                <w:color w:val="000000" w:themeColor="text1"/>
                <w:sz w:val="10"/>
                <w:szCs w:val="10"/>
                <w:lang w:val="pt-PT"/>
              </w:rPr>
            </w:pPr>
          </w:p>
        </w:tc>
      </w:tr>
    </w:tbl>
    <w:p w:rsidR="00640316" w:rsidRPr="00B63202" w:rsidRDefault="00640316" w:rsidP="00B63202">
      <w:pPr>
        <w:autoSpaceDE w:val="0"/>
        <w:autoSpaceDN w:val="0"/>
        <w:adjustRightInd w:val="0"/>
        <w:jc w:val="both"/>
        <w:rPr>
          <w:rFonts w:ascii="Arial" w:hAnsi="Arial" w:cs="Arial"/>
          <w:color w:val="000000" w:themeColor="text1"/>
          <w:sz w:val="20"/>
          <w:szCs w:val="20"/>
        </w:rPr>
      </w:pPr>
    </w:p>
    <w:sectPr w:rsidR="00640316" w:rsidRPr="00B63202" w:rsidSect="002149A4">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26" w:rsidRDefault="00460B26" w:rsidP="009E748D">
      <w:r>
        <w:separator/>
      </w:r>
    </w:p>
  </w:endnote>
  <w:endnote w:type="continuationSeparator" w:id="0">
    <w:p w:rsidR="00460B26" w:rsidRDefault="00460B26"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A26E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A26E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A26E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26" w:rsidRDefault="00460B26" w:rsidP="009E748D">
      <w:r>
        <w:separator/>
      </w:r>
    </w:p>
  </w:footnote>
  <w:footnote w:type="continuationSeparator" w:id="0">
    <w:p w:rsidR="00460B26" w:rsidRDefault="00460B26"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A26E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A26E4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04</w:t>
          </w:r>
          <w:r w:rsidR="00F055F4">
            <w:rPr>
              <w:rFonts w:ascii="Arial" w:hAnsi="Arial"/>
              <w:b/>
              <w:color w:val="000000"/>
              <w:sz w:val="22"/>
            </w:rPr>
            <w:t>.09.2018</w:t>
          </w:r>
        </w:p>
        <w:p w:rsidR="00EB1D18" w:rsidRPr="00E02A57" w:rsidRDefault="00A26E44" w:rsidP="00E02A57">
          <w:pPr>
            <w:pStyle w:val="Kopfzeile"/>
          </w:pPr>
          <w:r w:rsidRPr="00323818">
            <w:rPr>
              <w:noProof/>
              <w:lang w:val="de-AT" w:eastAsia="de-AT"/>
            </w:rPr>
            <w:drawing>
              <wp:inline distT="0" distB="0" distL="0" distR="0" wp14:anchorId="5D8CC115" wp14:editId="7BD81F50">
                <wp:extent cx="1974850" cy="451648"/>
                <wp:effectExtent l="19050" t="0" r="6350" b="0"/>
                <wp:docPr id="2"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A26E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5062"/>
    <w:rsid w:val="000762BD"/>
    <w:rsid w:val="00080329"/>
    <w:rsid w:val="00085C43"/>
    <w:rsid w:val="000876B1"/>
    <w:rsid w:val="00094CBA"/>
    <w:rsid w:val="0009777E"/>
    <w:rsid w:val="000B09E5"/>
    <w:rsid w:val="000B5378"/>
    <w:rsid w:val="000D488B"/>
    <w:rsid w:val="000D51F8"/>
    <w:rsid w:val="000E4CA2"/>
    <w:rsid w:val="000E6547"/>
    <w:rsid w:val="000F7A37"/>
    <w:rsid w:val="0010237C"/>
    <w:rsid w:val="00103B65"/>
    <w:rsid w:val="00112706"/>
    <w:rsid w:val="00113DD2"/>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A1CE5"/>
    <w:rsid w:val="001A2C24"/>
    <w:rsid w:val="001A3473"/>
    <w:rsid w:val="001A3C30"/>
    <w:rsid w:val="001A6BFA"/>
    <w:rsid w:val="001A6DC7"/>
    <w:rsid w:val="001A7BBE"/>
    <w:rsid w:val="001B1B4D"/>
    <w:rsid w:val="001B4B37"/>
    <w:rsid w:val="001B54C5"/>
    <w:rsid w:val="001B56CB"/>
    <w:rsid w:val="001B7760"/>
    <w:rsid w:val="001C5805"/>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3131"/>
    <w:rsid w:val="002D481A"/>
    <w:rsid w:val="002D6AB5"/>
    <w:rsid w:val="002E42C1"/>
    <w:rsid w:val="002E5A57"/>
    <w:rsid w:val="002E63A8"/>
    <w:rsid w:val="002E64F0"/>
    <w:rsid w:val="002F0102"/>
    <w:rsid w:val="002F08B0"/>
    <w:rsid w:val="002F1DA0"/>
    <w:rsid w:val="002F24CD"/>
    <w:rsid w:val="002F33EA"/>
    <w:rsid w:val="002F3EE8"/>
    <w:rsid w:val="002F55FE"/>
    <w:rsid w:val="002F72AE"/>
    <w:rsid w:val="00302EFD"/>
    <w:rsid w:val="00302F23"/>
    <w:rsid w:val="003074BC"/>
    <w:rsid w:val="00311D3D"/>
    <w:rsid w:val="00312CB0"/>
    <w:rsid w:val="0031536E"/>
    <w:rsid w:val="003177AD"/>
    <w:rsid w:val="00320A41"/>
    <w:rsid w:val="003269E4"/>
    <w:rsid w:val="00326FBB"/>
    <w:rsid w:val="00341827"/>
    <w:rsid w:val="00343B55"/>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596B"/>
    <w:rsid w:val="003E5BA6"/>
    <w:rsid w:val="003E6CBD"/>
    <w:rsid w:val="003F382B"/>
    <w:rsid w:val="004059BF"/>
    <w:rsid w:val="0040715A"/>
    <w:rsid w:val="00410C55"/>
    <w:rsid w:val="00422CD7"/>
    <w:rsid w:val="00431CFD"/>
    <w:rsid w:val="004337D9"/>
    <w:rsid w:val="00440000"/>
    <w:rsid w:val="0044546F"/>
    <w:rsid w:val="00445C02"/>
    <w:rsid w:val="00446DC8"/>
    <w:rsid w:val="0045733F"/>
    <w:rsid w:val="00460B26"/>
    <w:rsid w:val="004617BC"/>
    <w:rsid w:val="00462F50"/>
    <w:rsid w:val="00464997"/>
    <w:rsid w:val="00467302"/>
    <w:rsid w:val="00473FF2"/>
    <w:rsid w:val="00474105"/>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52A3"/>
    <w:rsid w:val="00506F19"/>
    <w:rsid w:val="005109E8"/>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B36"/>
    <w:rsid w:val="005C1958"/>
    <w:rsid w:val="005C34C3"/>
    <w:rsid w:val="005C655C"/>
    <w:rsid w:val="005D1081"/>
    <w:rsid w:val="005D219C"/>
    <w:rsid w:val="005D238E"/>
    <w:rsid w:val="005D3FBD"/>
    <w:rsid w:val="005D7C01"/>
    <w:rsid w:val="005E007A"/>
    <w:rsid w:val="005E01D5"/>
    <w:rsid w:val="005E1F2C"/>
    <w:rsid w:val="005F1C18"/>
    <w:rsid w:val="005F2AAE"/>
    <w:rsid w:val="005F72C9"/>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38B4"/>
    <w:rsid w:val="006B55BC"/>
    <w:rsid w:val="006B7BDF"/>
    <w:rsid w:val="006C029B"/>
    <w:rsid w:val="006C133E"/>
    <w:rsid w:val="006C6710"/>
    <w:rsid w:val="006C7174"/>
    <w:rsid w:val="006D054C"/>
    <w:rsid w:val="006E13BB"/>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93C0E"/>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E21D9"/>
    <w:rsid w:val="007E50E5"/>
    <w:rsid w:val="007F2C53"/>
    <w:rsid w:val="007F30E5"/>
    <w:rsid w:val="007F3181"/>
    <w:rsid w:val="007F3A10"/>
    <w:rsid w:val="007F6222"/>
    <w:rsid w:val="007F69B3"/>
    <w:rsid w:val="007F74B9"/>
    <w:rsid w:val="007F7CDA"/>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3E1D"/>
    <w:rsid w:val="00836C91"/>
    <w:rsid w:val="00837725"/>
    <w:rsid w:val="00843E75"/>
    <w:rsid w:val="00846715"/>
    <w:rsid w:val="0084713F"/>
    <w:rsid w:val="008476DC"/>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16EA"/>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3A04"/>
    <w:rsid w:val="00907892"/>
    <w:rsid w:val="00910D54"/>
    <w:rsid w:val="00911015"/>
    <w:rsid w:val="0091747B"/>
    <w:rsid w:val="00922EE4"/>
    <w:rsid w:val="00924E33"/>
    <w:rsid w:val="00925E5E"/>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26E44"/>
    <w:rsid w:val="00A31400"/>
    <w:rsid w:val="00A31DA8"/>
    <w:rsid w:val="00A32A3B"/>
    <w:rsid w:val="00A32A90"/>
    <w:rsid w:val="00A443EC"/>
    <w:rsid w:val="00A465E3"/>
    <w:rsid w:val="00A506C2"/>
    <w:rsid w:val="00A507D7"/>
    <w:rsid w:val="00A51C9E"/>
    <w:rsid w:val="00A54893"/>
    <w:rsid w:val="00A54C29"/>
    <w:rsid w:val="00A55918"/>
    <w:rsid w:val="00A613DB"/>
    <w:rsid w:val="00A63988"/>
    <w:rsid w:val="00A6400C"/>
    <w:rsid w:val="00A6639E"/>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45A6"/>
    <w:rsid w:val="00AE5005"/>
    <w:rsid w:val="00AF0BA4"/>
    <w:rsid w:val="00AF2CF8"/>
    <w:rsid w:val="00AF7406"/>
    <w:rsid w:val="00B0198E"/>
    <w:rsid w:val="00B028E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3202"/>
    <w:rsid w:val="00B64520"/>
    <w:rsid w:val="00B64F28"/>
    <w:rsid w:val="00B70FE6"/>
    <w:rsid w:val="00B7195A"/>
    <w:rsid w:val="00B74552"/>
    <w:rsid w:val="00B74E46"/>
    <w:rsid w:val="00B75CDF"/>
    <w:rsid w:val="00B81532"/>
    <w:rsid w:val="00B8431F"/>
    <w:rsid w:val="00B8635C"/>
    <w:rsid w:val="00B86D11"/>
    <w:rsid w:val="00B90AEE"/>
    <w:rsid w:val="00B93608"/>
    <w:rsid w:val="00B95A80"/>
    <w:rsid w:val="00BA41BF"/>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17A"/>
    <w:rsid w:val="00C24CF5"/>
    <w:rsid w:val="00C251D2"/>
    <w:rsid w:val="00C261D7"/>
    <w:rsid w:val="00C2742A"/>
    <w:rsid w:val="00C31021"/>
    <w:rsid w:val="00C320CB"/>
    <w:rsid w:val="00C34A25"/>
    <w:rsid w:val="00C359C9"/>
    <w:rsid w:val="00C371A1"/>
    <w:rsid w:val="00C41625"/>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37EE"/>
    <w:rsid w:val="00CE6056"/>
    <w:rsid w:val="00CF0BED"/>
    <w:rsid w:val="00CF4175"/>
    <w:rsid w:val="00CF52AB"/>
    <w:rsid w:val="00D01F64"/>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D3089"/>
    <w:rsid w:val="00DE1E74"/>
    <w:rsid w:val="00DF162D"/>
    <w:rsid w:val="00DF5C96"/>
    <w:rsid w:val="00DF6A2C"/>
    <w:rsid w:val="00DF75CE"/>
    <w:rsid w:val="00E02A57"/>
    <w:rsid w:val="00E05777"/>
    <w:rsid w:val="00E06F44"/>
    <w:rsid w:val="00E07A04"/>
    <w:rsid w:val="00E10DAF"/>
    <w:rsid w:val="00E14E44"/>
    <w:rsid w:val="00E20D84"/>
    <w:rsid w:val="00E3156E"/>
    <w:rsid w:val="00E41B13"/>
    <w:rsid w:val="00E43085"/>
    <w:rsid w:val="00E43EF2"/>
    <w:rsid w:val="00E504A5"/>
    <w:rsid w:val="00E50C58"/>
    <w:rsid w:val="00E51810"/>
    <w:rsid w:val="00E51C5C"/>
    <w:rsid w:val="00E60AE5"/>
    <w:rsid w:val="00E63985"/>
    <w:rsid w:val="00E65997"/>
    <w:rsid w:val="00E70C20"/>
    <w:rsid w:val="00E77647"/>
    <w:rsid w:val="00E85396"/>
    <w:rsid w:val="00E96F11"/>
    <w:rsid w:val="00EA2081"/>
    <w:rsid w:val="00EA4A30"/>
    <w:rsid w:val="00EB150B"/>
    <w:rsid w:val="00EB1D18"/>
    <w:rsid w:val="00EB5381"/>
    <w:rsid w:val="00EB5423"/>
    <w:rsid w:val="00EB75AB"/>
    <w:rsid w:val="00EC429C"/>
    <w:rsid w:val="00EC581B"/>
    <w:rsid w:val="00EC6E61"/>
    <w:rsid w:val="00EC78F6"/>
    <w:rsid w:val="00ED2E81"/>
    <w:rsid w:val="00ED5A55"/>
    <w:rsid w:val="00ED6F88"/>
    <w:rsid w:val="00EE0E69"/>
    <w:rsid w:val="00EE7124"/>
    <w:rsid w:val="00EF35EC"/>
    <w:rsid w:val="00EF6D88"/>
    <w:rsid w:val="00F0115B"/>
    <w:rsid w:val="00F055F4"/>
    <w:rsid w:val="00F07D82"/>
    <w:rsid w:val="00F11967"/>
    <w:rsid w:val="00F13F17"/>
    <w:rsid w:val="00F150F1"/>
    <w:rsid w:val="00F16159"/>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328A3"/>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867CD-7040-4A24-B68E-A4458EFB02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c633809-d045-4759-b659-fbc416dcbd7a"/>
    <ds:schemaRef ds:uri="http://purl.org/dc/terms/"/>
    <ds:schemaRef ds:uri="13210ff9-5087-4253-be09-b07114560a7d"/>
    <ds:schemaRef ds:uri="http://www.w3.org/XML/1998/namespace"/>
    <ds:schemaRef ds:uri="http://purl.org/dc/dcmitype/"/>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5.xml><?xml version="1.0" encoding="utf-8"?>
<ds:datastoreItem xmlns:ds="http://schemas.openxmlformats.org/officeDocument/2006/customXml" ds:itemID="{38AD6E40-75C0-4E42-8F45-5A8B03F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Klimmer Lia</cp:lastModifiedBy>
  <cp:revision>9</cp:revision>
  <cp:lastPrinted>2018-08-09T13:18:00Z</cp:lastPrinted>
  <dcterms:created xsi:type="dcterms:W3CDTF">2018-08-21T14:20:00Z</dcterms:created>
  <dcterms:modified xsi:type="dcterms:W3CDTF">2018-08-28T07:17:00Z</dcterms:modified>
</cp:coreProperties>
</file>