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078" w:rsidRPr="00D10EE4" w:rsidRDefault="006D4716" w:rsidP="00BB12BB">
      <w:pPr>
        <w:autoSpaceDE w:val="0"/>
        <w:autoSpaceDN w:val="0"/>
        <w:adjustRightInd w:val="0"/>
        <w:rPr>
          <w:rFonts w:cs="Arial"/>
          <w:b/>
          <w:sz w:val="32"/>
          <w:szCs w:val="32"/>
        </w:rPr>
      </w:pPr>
      <w:r>
        <w:rPr>
          <w:b/>
          <w:sz w:val="32"/>
          <w:szCs w:val="32"/>
        </w:rPr>
        <w:br/>
        <w:t>Successful standardisation begins in the design phase</w:t>
      </w:r>
    </w:p>
    <w:p w:rsidR="00150078" w:rsidRPr="00D10EE4" w:rsidRDefault="00150078" w:rsidP="00BB12BB">
      <w:pPr>
        <w:autoSpaceDE w:val="0"/>
        <w:autoSpaceDN w:val="0"/>
        <w:adjustRightInd w:val="0"/>
        <w:rPr>
          <w:rFonts w:cs="Arial"/>
          <w:i/>
          <w:iCs/>
          <w:color w:val="575756"/>
        </w:rPr>
      </w:pPr>
    </w:p>
    <w:p w:rsidR="00BA7533" w:rsidRDefault="00150078" w:rsidP="00FD22F1">
      <w:pPr>
        <w:shd w:val="clear" w:color="auto" w:fill="FFFFFF"/>
        <w:spacing w:after="165"/>
        <w:outlineLvl w:val="2"/>
        <w:rPr>
          <w:sz w:val="22"/>
          <w:szCs w:val="22"/>
        </w:rPr>
      </w:pPr>
      <w:r>
        <w:rPr>
          <w:b/>
          <w:sz w:val="22"/>
          <w:szCs w:val="22"/>
        </w:rPr>
        <w:t xml:space="preserve">The world is becoming smaller – both logistically and economically. Globalisation increases the competitive pressure on die and mould </w:t>
      </w:r>
      <w:bookmarkStart w:id="0" w:name="_GoBack"/>
      <w:bookmarkEnd w:id="0"/>
      <w:r>
        <w:rPr>
          <w:b/>
          <w:sz w:val="22"/>
          <w:szCs w:val="22"/>
        </w:rPr>
        <w:t xml:space="preserve">makers, but also offers the chance to profit from orders in fast-growing markets. At the same time the innovation wheel is turning ever faster, which requires adaptability and flexibility from companies. The high cost and time pressure forces companies </w:t>
      </w:r>
      <w:proofErr w:type="gramStart"/>
      <w:r>
        <w:rPr>
          <w:b/>
          <w:sz w:val="22"/>
          <w:szCs w:val="22"/>
        </w:rPr>
        <w:t>to constantly improve</w:t>
      </w:r>
      <w:proofErr w:type="gramEnd"/>
      <w:r>
        <w:rPr>
          <w:b/>
          <w:sz w:val="22"/>
          <w:szCs w:val="22"/>
        </w:rPr>
        <w:t xml:space="preserve"> their efficiency. A high degree of standardisation along the entire process chain offers an excellent opportunity </w:t>
      </w:r>
      <w:proofErr w:type="gramStart"/>
      <w:r>
        <w:rPr>
          <w:b/>
          <w:sz w:val="22"/>
          <w:szCs w:val="22"/>
        </w:rPr>
        <w:t>to drastically reduce</w:t>
      </w:r>
      <w:proofErr w:type="gramEnd"/>
      <w:r>
        <w:rPr>
          <w:b/>
          <w:sz w:val="22"/>
          <w:szCs w:val="22"/>
        </w:rPr>
        <w:t xml:space="preserve"> costs and project lead times.</w:t>
      </w:r>
      <w:r>
        <w:rPr>
          <w:b/>
          <w:sz w:val="22"/>
          <w:szCs w:val="22"/>
        </w:rPr>
        <w:br/>
      </w:r>
      <w:r>
        <w:rPr>
          <w:b/>
          <w:sz w:val="22"/>
          <w:szCs w:val="22"/>
        </w:rPr>
        <w:br/>
      </w:r>
      <w:r>
        <w:rPr>
          <w:sz w:val="22"/>
          <w:szCs w:val="22"/>
        </w:rPr>
        <w:t xml:space="preserve">In the product life cycle of a die, it is important to take a holistic view of the costs. At the beginning of a project, possible savings </w:t>
      </w:r>
      <w:proofErr w:type="gramStart"/>
      <w:r>
        <w:rPr>
          <w:sz w:val="22"/>
          <w:szCs w:val="22"/>
        </w:rPr>
        <w:t>should already be considered</w:t>
      </w:r>
      <w:proofErr w:type="gramEnd"/>
      <w:r>
        <w:rPr>
          <w:sz w:val="22"/>
          <w:szCs w:val="22"/>
        </w:rPr>
        <w:t xml:space="preserve">. The use of standard parts has a positive effect on the overall cost. Helpful questions are for example: are there die </w:t>
      </w:r>
      <w:proofErr w:type="gramStart"/>
      <w:r>
        <w:rPr>
          <w:sz w:val="22"/>
          <w:szCs w:val="22"/>
        </w:rPr>
        <w:t>components which</w:t>
      </w:r>
      <w:proofErr w:type="gramEnd"/>
      <w:r>
        <w:rPr>
          <w:sz w:val="22"/>
          <w:szCs w:val="22"/>
        </w:rPr>
        <w:t xml:space="preserve"> can be standardised? If so, what possibilities are there to fall back on for internally standardised parts or die set concepts? </w:t>
      </w:r>
      <w:proofErr w:type="gramStart"/>
      <w:r>
        <w:rPr>
          <w:sz w:val="22"/>
          <w:szCs w:val="22"/>
        </w:rPr>
        <w:t>Could these be bought</w:t>
      </w:r>
      <w:proofErr w:type="gramEnd"/>
      <w:r>
        <w:rPr>
          <w:sz w:val="22"/>
          <w:szCs w:val="22"/>
        </w:rPr>
        <w:t xml:space="preserve"> from an external standard parts manufacturer? There is a lot of savings potential here to gain clear competitive advantages.</w:t>
      </w:r>
      <w:r>
        <w:rPr>
          <w:sz w:val="22"/>
          <w:szCs w:val="22"/>
        </w:rPr>
        <w:br/>
      </w:r>
      <w:r>
        <w:rPr>
          <w:sz w:val="22"/>
          <w:szCs w:val="22"/>
        </w:rPr>
        <w:br/>
      </w:r>
      <w:r>
        <w:rPr>
          <w:b/>
          <w:sz w:val="22"/>
          <w:szCs w:val="22"/>
        </w:rPr>
        <w:t>The design phase is decisive</w:t>
      </w:r>
      <w:r>
        <w:rPr>
          <w:b/>
          <w:sz w:val="22"/>
          <w:szCs w:val="22"/>
        </w:rPr>
        <w:br/>
      </w:r>
      <w:proofErr w:type="gramStart"/>
      <w:r>
        <w:rPr>
          <w:sz w:val="22"/>
          <w:szCs w:val="22"/>
        </w:rPr>
        <w:t>The</w:t>
      </w:r>
      <w:proofErr w:type="gramEnd"/>
      <w:r>
        <w:rPr>
          <w:sz w:val="22"/>
          <w:szCs w:val="22"/>
        </w:rPr>
        <w:t xml:space="preserve"> costs of a die can be greatly influenced during the development phase, whereas towards the end of the process, in the series productions stage, it is almost impossible to reduce costs. The designer determines the machining sequence in the die. He or she decides how the individual machining stations or the feed </w:t>
      </w:r>
      <w:proofErr w:type="gramStart"/>
      <w:r>
        <w:rPr>
          <w:sz w:val="22"/>
          <w:szCs w:val="22"/>
        </w:rPr>
        <w:t>are designed</w:t>
      </w:r>
      <w:proofErr w:type="gramEnd"/>
      <w:r>
        <w:rPr>
          <w:sz w:val="22"/>
          <w:szCs w:val="22"/>
        </w:rPr>
        <w:t xml:space="preserve">. In this phase, the production parameters with which the die will later work in the stamping workshop are set. In addition, the designer decides whether the die set is to </w:t>
      </w:r>
      <w:proofErr w:type="gramStart"/>
      <w:r>
        <w:rPr>
          <w:sz w:val="22"/>
          <w:szCs w:val="22"/>
        </w:rPr>
        <w:t>be constructed</w:t>
      </w:r>
      <w:proofErr w:type="gramEnd"/>
      <w:r>
        <w:rPr>
          <w:sz w:val="22"/>
          <w:szCs w:val="22"/>
        </w:rPr>
        <w:t xml:space="preserve"> from standard plates in stock or from order-specific special plates. The more standard parts used, the higher the percentage of fixed calculable costs.</w:t>
      </w:r>
      <w:r>
        <w:rPr>
          <w:sz w:val="22"/>
          <w:szCs w:val="22"/>
        </w:rPr>
        <w:br/>
      </w:r>
      <w:r>
        <w:rPr>
          <w:sz w:val="22"/>
          <w:szCs w:val="22"/>
        </w:rPr>
        <w:br/>
      </w:r>
      <w:r>
        <w:rPr>
          <w:b/>
          <w:sz w:val="22"/>
          <w:szCs w:val="22"/>
        </w:rPr>
        <w:t>Reach your goal quickly with digital wizards</w:t>
      </w:r>
      <w:r>
        <w:rPr>
          <w:b/>
          <w:sz w:val="22"/>
          <w:szCs w:val="22"/>
        </w:rPr>
        <w:br/>
      </w:r>
      <w:proofErr w:type="gramStart"/>
      <w:r>
        <w:rPr>
          <w:sz w:val="22"/>
          <w:szCs w:val="22"/>
        </w:rPr>
        <w:t>The</w:t>
      </w:r>
      <w:proofErr w:type="gramEnd"/>
      <w:r>
        <w:rPr>
          <w:sz w:val="22"/>
          <w:szCs w:val="22"/>
        </w:rPr>
        <w:t xml:space="preserve"> use of standard parts results in savings in all areas. This starts with the fast and reliable pre-calculation by means of the Meusburger die set wizards. With these tools, all necessary components for a project </w:t>
      </w:r>
      <w:proofErr w:type="gramStart"/>
      <w:r>
        <w:rPr>
          <w:sz w:val="22"/>
          <w:szCs w:val="22"/>
        </w:rPr>
        <w:t>can be assembled quickly and easily and saved for later use</w:t>
      </w:r>
      <w:proofErr w:type="gramEnd"/>
      <w:r>
        <w:rPr>
          <w:sz w:val="22"/>
          <w:szCs w:val="22"/>
        </w:rPr>
        <w:t xml:space="preserve">. CAD data of complete die sets </w:t>
      </w:r>
      <w:proofErr w:type="gramStart"/>
      <w:r>
        <w:rPr>
          <w:sz w:val="22"/>
          <w:szCs w:val="22"/>
        </w:rPr>
        <w:t>can be exported</w:t>
      </w:r>
      <w:proofErr w:type="gramEnd"/>
      <w:r>
        <w:rPr>
          <w:sz w:val="22"/>
          <w:szCs w:val="22"/>
        </w:rPr>
        <w:t xml:space="preserve"> from the Meusburger web shop or offline shop to all common CAD systems with just a few clicks. This gives the designer more time to concentrate on the actual ‘critical points’ of a die. </w:t>
      </w:r>
      <w:r>
        <w:rPr>
          <w:sz w:val="22"/>
          <w:szCs w:val="22"/>
        </w:rPr>
        <w:br/>
      </w:r>
      <w:r>
        <w:rPr>
          <w:sz w:val="22"/>
          <w:szCs w:val="22"/>
        </w:rPr>
        <w:br/>
      </w:r>
      <w:r>
        <w:rPr>
          <w:b/>
          <w:sz w:val="22"/>
          <w:szCs w:val="22"/>
        </w:rPr>
        <w:t>Over 40,000 items to guarantee success</w:t>
      </w:r>
      <w:r>
        <w:rPr>
          <w:b/>
          <w:sz w:val="22"/>
          <w:szCs w:val="22"/>
        </w:rPr>
        <w:br/>
      </w:r>
      <w:proofErr w:type="gramStart"/>
      <w:r>
        <w:rPr>
          <w:sz w:val="22"/>
          <w:szCs w:val="22"/>
        </w:rPr>
        <w:t>In</w:t>
      </w:r>
      <w:proofErr w:type="gramEnd"/>
      <w:r>
        <w:rPr>
          <w:sz w:val="22"/>
          <w:szCs w:val="22"/>
        </w:rPr>
        <w:t xml:space="preserve"> the area of die making, Meusburger offers over 40,000 items, which are specially tailored to customer requirements. The low deformation material itself has a big influence on the manufacturing and maintenance costs of the die: thanks to the high-grade steel, which </w:t>
      </w:r>
      <w:proofErr w:type="gramStart"/>
      <w:r>
        <w:rPr>
          <w:sz w:val="22"/>
          <w:szCs w:val="22"/>
        </w:rPr>
        <w:t>is heat-treated</w:t>
      </w:r>
      <w:proofErr w:type="gramEnd"/>
      <w:r>
        <w:rPr>
          <w:sz w:val="22"/>
          <w:szCs w:val="22"/>
        </w:rPr>
        <w:t xml:space="preserve"> for stress relief, as well as exact form and position tolerances, subsequent costs can be reduced. </w:t>
      </w:r>
      <w:proofErr w:type="gramStart"/>
      <w:r>
        <w:rPr>
          <w:sz w:val="22"/>
          <w:szCs w:val="22"/>
        </w:rPr>
        <w:t>Also</w:t>
      </w:r>
      <w:proofErr w:type="gramEnd"/>
      <w:r>
        <w:rPr>
          <w:sz w:val="22"/>
          <w:szCs w:val="22"/>
        </w:rPr>
        <w:t xml:space="preserve"> the built-in components - such as active parts - perform important functions in the die. Buying these from external suppliers, rather than producing them in-house, offers significant additional savings and therefore long-term competitive advantages. The best time for putting this into practice is quite simply - now! Times of economic boom are exactly the right time to prepare for the future.</w:t>
      </w:r>
      <w:r>
        <w:rPr>
          <w:sz w:val="22"/>
          <w:szCs w:val="22"/>
        </w:rPr>
        <w:br/>
      </w:r>
    </w:p>
    <w:p w:rsidR="00BA7533" w:rsidRDefault="00BA7533" w:rsidP="00FD22F1">
      <w:pPr>
        <w:shd w:val="clear" w:color="auto" w:fill="FFFFFF"/>
        <w:spacing w:after="165"/>
        <w:outlineLvl w:val="2"/>
        <w:rPr>
          <w:sz w:val="22"/>
          <w:szCs w:val="22"/>
        </w:rPr>
      </w:pPr>
    </w:p>
    <w:p w:rsidR="00BA7533" w:rsidRDefault="00BA7533" w:rsidP="00FD22F1">
      <w:pPr>
        <w:shd w:val="clear" w:color="auto" w:fill="FFFFFF"/>
        <w:spacing w:after="165"/>
        <w:outlineLvl w:val="2"/>
        <w:rPr>
          <w:sz w:val="22"/>
          <w:szCs w:val="22"/>
        </w:rPr>
      </w:pPr>
    </w:p>
    <w:p w:rsidR="00150078" w:rsidRPr="00DF5302" w:rsidRDefault="00150078" w:rsidP="00FD22F1">
      <w:pPr>
        <w:shd w:val="clear" w:color="auto" w:fill="FFFFFF"/>
        <w:spacing w:after="165"/>
        <w:outlineLvl w:val="2"/>
        <w:rPr>
          <w:rFonts w:cs="Arial"/>
          <w:b/>
          <w:sz w:val="22"/>
          <w:szCs w:val="22"/>
        </w:rPr>
      </w:pPr>
      <w:r>
        <w:rPr>
          <w:sz w:val="22"/>
          <w:szCs w:val="22"/>
        </w:rPr>
        <w:lastRenderedPageBreak/>
        <w:br/>
      </w:r>
      <w:r>
        <w:rPr>
          <w:b/>
          <w:sz w:val="22"/>
          <w:szCs w:val="22"/>
        </w:rPr>
        <w:t>TIPS &amp; TRICKS FOR STANDARDISATION</w:t>
      </w:r>
    </w:p>
    <w:p w:rsidR="00150078" w:rsidRPr="00DF5302" w:rsidRDefault="00150078" w:rsidP="00BB12BB">
      <w:pPr>
        <w:pStyle w:val="Listenabsatz"/>
        <w:numPr>
          <w:ilvl w:val="0"/>
          <w:numId w:val="3"/>
        </w:numPr>
        <w:autoSpaceDE w:val="0"/>
        <w:autoSpaceDN w:val="0"/>
        <w:adjustRightInd w:val="0"/>
        <w:rPr>
          <w:rFonts w:cs="Arial"/>
          <w:sz w:val="22"/>
          <w:szCs w:val="22"/>
        </w:rPr>
      </w:pPr>
      <w:r>
        <w:rPr>
          <w:sz w:val="22"/>
          <w:szCs w:val="22"/>
        </w:rPr>
        <w:t>Create quality standards through low deformation plates</w:t>
      </w:r>
    </w:p>
    <w:p w:rsidR="00150078" w:rsidRPr="00DF5302" w:rsidRDefault="00150078" w:rsidP="00BB12BB">
      <w:pPr>
        <w:pStyle w:val="Listenabsatz"/>
        <w:numPr>
          <w:ilvl w:val="0"/>
          <w:numId w:val="3"/>
        </w:numPr>
        <w:autoSpaceDE w:val="0"/>
        <w:autoSpaceDN w:val="0"/>
        <w:adjustRightInd w:val="0"/>
        <w:rPr>
          <w:rFonts w:cs="Arial"/>
          <w:sz w:val="22"/>
          <w:szCs w:val="22"/>
        </w:rPr>
      </w:pPr>
      <w:r>
        <w:rPr>
          <w:sz w:val="22"/>
          <w:szCs w:val="22"/>
        </w:rPr>
        <w:t>Develop design guidelines</w:t>
      </w:r>
    </w:p>
    <w:p w:rsidR="00150078" w:rsidRPr="00C06C90" w:rsidRDefault="00150078" w:rsidP="00BB12BB">
      <w:pPr>
        <w:pStyle w:val="Listenabsatz"/>
        <w:numPr>
          <w:ilvl w:val="0"/>
          <w:numId w:val="3"/>
        </w:numPr>
        <w:autoSpaceDE w:val="0"/>
        <w:autoSpaceDN w:val="0"/>
        <w:adjustRightInd w:val="0"/>
        <w:rPr>
          <w:rFonts w:cs="Arial"/>
          <w:sz w:val="22"/>
          <w:szCs w:val="22"/>
        </w:rPr>
      </w:pPr>
      <w:r>
        <w:rPr>
          <w:sz w:val="22"/>
          <w:szCs w:val="22"/>
        </w:rPr>
        <w:t>Reduce the variety of components used</w:t>
      </w:r>
    </w:p>
    <w:p w:rsidR="00150078" w:rsidRPr="00DF5302" w:rsidRDefault="00150078" w:rsidP="00BB12BB">
      <w:pPr>
        <w:pStyle w:val="Listenabsatz"/>
        <w:numPr>
          <w:ilvl w:val="0"/>
          <w:numId w:val="3"/>
        </w:numPr>
        <w:autoSpaceDE w:val="0"/>
        <w:autoSpaceDN w:val="0"/>
        <w:adjustRightInd w:val="0"/>
        <w:rPr>
          <w:rFonts w:cs="Arial"/>
          <w:sz w:val="22"/>
          <w:szCs w:val="22"/>
        </w:rPr>
      </w:pPr>
      <w:r>
        <w:rPr>
          <w:sz w:val="22"/>
          <w:szCs w:val="22"/>
        </w:rPr>
        <w:t>Use standardised components and lower manufacturing costs</w:t>
      </w:r>
    </w:p>
    <w:p w:rsidR="00150078" w:rsidRPr="00DF5302" w:rsidRDefault="00150078" w:rsidP="00BB12BB">
      <w:pPr>
        <w:pStyle w:val="Listenabsatz"/>
        <w:numPr>
          <w:ilvl w:val="0"/>
          <w:numId w:val="3"/>
        </w:numPr>
        <w:autoSpaceDE w:val="0"/>
        <w:autoSpaceDN w:val="0"/>
        <w:adjustRightInd w:val="0"/>
        <w:rPr>
          <w:rFonts w:cs="Arial"/>
          <w:sz w:val="22"/>
          <w:szCs w:val="22"/>
        </w:rPr>
      </w:pPr>
      <w:r>
        <w:rPr>
          <w:sz w:val="22"/>
          <w:szCs w:val="22"/>
        </w:rPr>
        <w:t>Create machining guidelines, such as predefined tolerances or dimensions</w:t>
      </w:r>
    </w:p>
    <w:p w:rsidR="00150078" w:rsidRPr="00DF5302" w:rsidRDefault="00150078" w:rsidP="00BB12BB">
      <w:pPr>
        <w:pStyle w:val="Listenabsatz"/>
        <w:numPr>
          <w:ilvl w:val="0"/>
          <w:numId w:val="3"/>
        </w:numPr>
        <w:autoSpaceDE w:val="0"/>
        <w:autoSpaceDN w:val="0"/>
        <w:adjustRightInd w:val="0"/>
        <w:rPr>
          <w:rFonts w:cs="Arial"/>
          <w:sz w:val="22"/>
          <w:szCs w:val="22"/>
        </w:rPr>
      </w:pPr>
      <w:r>
        <w:rPr>
          <w:sz w:val="22"/>
          <w:szCs w:val="22"/>
        </w:rPr>
        <w:t>Create standardised processes</w:t>
      </w:r>
    </w:p>
    <w:p w:rsidR="00BB12BB" w:rsidRDefault="00BB12BB" w:rsidP="00BB12BB">
      <w:pPr>
        <w:autoSpaceDE w:val="0"/>
        <w:autoSpaceDN w:val="0"/>
        <w:adjustRightInd w:val="0"/>
        <w:rPr>
          <w:rStyle w:val="Standard1"/>
          <w:rFonts w:cs="Arial"/>
          <w:bCs w:val="0"/>
          <w:color w:val="575756"/>
          <w:sz w:val="22"/>
          <w:szCs w:val="22"/>
          <w:lang w:val="de-AT"/>
        </w:rPr>
      </w:pPr>
    </w:p>
    <w:p w:rsidR="009325B3" w:rsidRDefault="00112EB8" w:rsidP="00BB12BB">
      <w:pPr>
        <w:autoSpaceDE w:val="0"/>
        <w:autoSpaceDN w:val="0"/>
        <w:adjustRightInd w:val="0"/>
        <w:rPr>
          <w:rStyle w:val="Standard1"/>
          <w:rFonts w:cs="Arial"/>
          <w:bCs w:val="0"/>
          <w:color w:val="575756"/>
          <w:sz w:val="22"/>
          <w:szCs w:val="22"/>
          <w:lang w:val="de-AT"/>
        </w:rPr>
      </w:pPr>
      <w:r w:rsidRPr="00112EB8">
        <w:rPr>
          <w:rStyle w:val="Standard1"/>
          <w:rFonts w:cs="Arial"/>
          <w:bCs w:val="0"/>
          <w:color w:val="575756"/>
          <w:sz w:val="22"/>
          <w:szCs w:val="22"/>
          <w:lang w:val="de-AT"/>
        </w:rPr>
        <w:drawing>
          <wp:inline distT="0" distB="0" distL="0" distR="0" wp14:anchorId="5876E3C7" wp14:editId="0125318E">
            <wp:extent cx="4695825" cy="301629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9385" cy="3025006"/>
                    </a:xfrm>
                    <a:prstGeom prst="rect">
                      <a:avLst/>
                    </a:prstGeom>
                  </pic:spPr>
                </pic:pic>
              </a:graphicData>
            </a:graphic>
          </wp:inline>
        </w:drawing>
      </w:r>
    </w:p>
    <w:p w:rsidR="00966BE0" w:rsidRDefault="00966BE0" w:rsidP="00966BE0">
      <w:pPr>
        <w:ind w:left="10"/>
        <w:rPr>
          <w:sz w:val="18"/>
          <w:szCs w:val="21"/>
        </w:rPr>
      </w:pPr>
      <w:r>
        <w:rPr>
          <w:b/>
          <w:sz w:val="18"/>
          <w:szCs w:val="18"/>
        </w:rPr>
        <w:t xml:space="preserve">Picture credits: </w:t>
      </w:r>
      <w:r>
        <w:rPr>
          <w:sz w:val="18"/>
          <w:szCs w:val="21"/>
        </w:rPr>
        <w:t>Graphics department (Meusburger)</w:t>
      </w:r>
    </w:p>
    <w:p w:rsidR="00966BE0" w:rsidRPr="00F6319B" w:rsidRDefault="00966BE0" w:rsidP="00966BE0">
      <w:pPr>
        <w:pStyle w:val="Kopfzeile"/>
        <w:tabs>
          <w:tab w:val="left" w:pos="708"/>
        </w:tabs>
        <w:jc w:val="both"/>
        <w:rPr>
          <w:b/>
          <w:color w:val="000000"/>
          <w:sz w:val="18"/>
          <w:szCs w:val="21"/>
        </w:rPr>
      </w:pPr>
      <w:r>
        <w:rPr>
          <w:b/>
          <w:color w:val="000000"/>
          <w:sz w:val="18"/>
          <w:szCs w:val="21"/>
        </w:rPr>
        <w:t>Caption:</w:t>
      </w:r>
      <w:r>
        <w:rPr>
          <w:color w:val="000000"/>
          <w:sz w:val="18"/>
          <w:szCs w:val="21"/>
        </w:rPr>
        <w:t xml:space="preserve"> How the use of standard parts influences product costs </w:t>
      </w:r>
    </w:p>
    <w:p w:rsidR="00DF5302" w:rsidRPr="00D10EE4" w:rsidRDefault="00DF5302" w:rsidP="00966BE0">
      <w:pPr>
        <w:shd w:val="clear" w:color="auto" w:fill="FFFFFF"/>
        <w:spacing w:after="165"/>
        <w:outlineLvl w:val="2"/>
        <w:rPr>
          <w:rFonts w:cs="Arial"/>
          <w:i/>
          <w:lang w:bidi="en-US"/>
        </w:rPr>
      </w:pPr>
    </w:p>
    <w:p w:rsidR="003B702A" w:rsidRDefault="00966BE0" w:rsidP="00BB12BB">
      <w:pPr>
        <w:autoSpaceDE w:val="0"/>
        <w:autoSpaceDN w:val="0"/>
        <w:adjustRightInd w:val="0"/>
        <w:rPr>
          <w:rStyle w:val="Standard1"/>
          <w:rFonts w:cs="Arial"/>
          <w:bCs w:val="0"/>
          <w:color w:val="575756"/>
          <w:sz w:val="22"/>
          <w:szCs w:val="22"/>
        </w:rPr>
      </w:pPr>
      <w:r>
        <w:rPr>
          <w:rStyle w:val="Standard1"/>
          <w:bCs w:val="0"/>
          <w:noProof/>
          <w:color w:val="575756"/>
          <w:sz w:val="22"/>
          <w:szCs w:val="22"/>
          <w:lang w:val="de-AT" w:eastAsia="de-AT"/>
        </w:rPr>
        <w:drawing>
          <wp:inline distT="0" distB="0" distL="0" distR="0" wp14:anchorId="3191A8ED" wp14:editId="544B47F6">
            <wp:extent cx="4724400" cy="3136189"/>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0190" cy="3146671"/>
                    </a:xfrm>
                    <a:prstGeom prst="rect">
                      <a:avLst/>
                    </a:prstGeom>
                  </pic:spPr>
                </pic:pic>
              </a:graphicData>
            </a:graphic>
          </wp:inline>
        </w:drawing>
      </w:r>
    </w:p>
    <w:p w:rsidR="00966BE0" w:rsidRDefault="00966BE0" w:rsidP="00966BE0">
      <w:pPr>
        <w:ind w:left="10"/>
        <w:rPr>
          <w:sz w:val="18"/>
          <w:szCs w:val="21"/>
        </w:rPr>
      </w:pPr>
      <w:r>
        <w:rPr>
          <w:b/>
          <w:sz w:val="18"/>
          <w:szCs w:val="18"/>
        </w:rPr>
        <w:t xml:space="preserve">Picture credits: </w:t>
      </w:r>
      <w:r>
        <w:rPr>
          <w:sz w:val="18"/>
          <w:szCs w:val="21"/>
        </w:rPr>
        <w:t>Photo (Meusburger)</w:t>
      </w:r>
    </w:p>
    <w:p w:rsidR="00966BE0" w:rsidRPr="00966BE0" w:rsidRDefault="00966BE0" w:rsidP="00966BE0">
      <w:pPr>
        <w:pStyle w:val="Kopfzeile"/>
        <w:tabs>
          <w:tab w:val="left" w:pos="708"/>
        </w:tabs>
        <w:jc w:val="both"/>
        <w:rPr>
          <w:sz w:val="18"/>
          <w:szCs w:val="21"/>
        </w:rPr>
      </w:pPr>
      <w:r>
        <w:rPr>
          <w:b/>
          <w:color w:val="000000"/>
          <w:sz w:val="18"/>
          <w:szCs w:val="21"/>
        </w:rPr>
        <w:t>Caption:</w:t>
      </w:r>
      <w:r>
        <w:rPr>
          <w:color w:val="000000"/>
          <w:sz w:val="18"/>
          <w:szCs w:val="21"/>
        </w:rPr>
        <w:t xml:space="preserve"> </w:t>
      </w:r>
      <w:r>
        <w:rPr>
          <w:sz w:val="18"/>
          <w:szCs w:val="21"/>
        </w:rPr>
        <w:t xml:space="preserve">CAD data of complete die sets </w:t>
      </w:r>
      <w:proofErr w:type="gramStart"/>
      <w:r>
        <w:rPr>
          <w:sz w:val="18"/>
          <w:szCs w:val="21"/>
        </w:rPr>
        <w:t>can be exported</w:t>
      </w:r>
      <w:proofErr w:type="gramEnd"/>
      <w:r>
        <w:rPr>
          <w:sz w:val="18"/>
          <w:szCs w:val="21"/>
        </w:rPr>
        <w:t xml:space="preserve"> from the Meusburger web shop or offline shop to all common CAD systems with just a few clicks.</w:t>
      </w:r>
    </w:p>
    <w:p w:rsidR="00966BE0" w:rsidRPr="00EE4D79" w:rsidRDefault="00966BE0" w:rsidP="00BB12BB">
      <w:pPr>
        <w:autoSpaceDE w:val="0"/>
        <w:autoSpaceDN w:val="0"/>
        <w:adjustRightInd w:val="0"/>
        <w:rPr>
          <w:sz w:val="18"/>
          <w:szCs w:val="21"/>
        </w:rPr>
      </w:pPr>
    </w:p>
    <w:p w:rsidR="0092520D" w:rsidRDefault="0092520D" w:rsidP="00BB12BB">
      <w:pPr>
        <w:pStyle w:val="Kopfzeile"/>
        <w:tabs>
          <w:tab w:val="left" w:pos="708"/>
        </w:tabs>
        <w:spacing w:line="276" w:lineRule="auto"/>
        <w:rPr>
          <w:b/>
          <w:bCs/>
          <w:color w:val="000000"/>
          <w:sz w:val="16"/>
          <w:szCs w:val="16"/>
        </w:rPr>
      </w:pPr>
      <w:r>
        <w:rPr>
          <w:b/>
          <w:bCs/>
          <w:color w:val="000000"/>
          <w:sz w:val="16"/>
          <w:szCs w:val="16"/>
        </w:rPr>
        <w:t>Meusburger – Setting Standards</w:t>
      </w:r>
    </w:p>
    <w:p w:rsidR="0092520D" w:rsidRPr="00EE4D79" w:rsidRDefault="0092520D" w:rsidP="00BB12BB">
      <w:pPr>
        <w:pStyle w:val="Kopfzeile"/>
        <w:tabs>
          <w:tab w:val="left" w:pos="708"/>
        </w:tabs>
        <w:spacing w:line="276" w:lineRule="auto"/>
        <w:rPr>
          <w:b/>
          <w:bCs/>
          <w:color w:val="000000"/>
          <w:sz w:val="16"/>
          <w:szCs w:val="16"/>
        </w:rPr>
      </w:pPr>
    </w:p>
    <w:p w:rsidR="0092520D" w:rsidRDefault="0092520D" w:rsidP="00BB12BB">
      <w:pPr>
        <w:rPr>
          <w:rStyle w:val="Standard1"/>
          <w:sz w:val="16"/>
        </w:rPr>
      </w:pPr>
      <w:r>
        <w:rPr>
          <w:rStyle w:val="Standard1"/>
          <w:sz w:val="16"/>
          <w:szCs w:val="16"/>
        </w:rPr>
        <w:t xml:space="preserve">As a part of the Meusburger Group, the Meusburger </w:t>
      </w:r>
      <w:proofErr w:type="gramStart"/>
      <w:r>
        <w:rPr>
          <w:rStyle w:val="Standard1"/>
          <w:sz w:val="16"/>
          <w:szCs w:val="16"/>
        </w:rPr>
        <w:t>company</w:t>
      </w:r>
      <w:proofErr w:type="gramEnd"/>
      <w:r>
        <w:rPr>
          <w:rStyle w:val="Standard1"/>
          <w:sz w:val="16"/>
          <w:szCs w:val="16"/>
        </w:rPr>
        <w:t xml:space="preserve"> is the market leader in the field of high-precision standard parts. Customers all over the world make use of the advantages of standardisation and benefit from the company's over 50 years of experience in working with steel. Offering an extensive range of standard parts, combined with selected products in the field of workshop equipment, Meusburger is the reliable global partner for making moulds, dies, jigs and fixtures.</w:t>
      </w:r>
    </w:p>
    <w:p w:rsidR="0092520D" w:rsidRDefault="0092520D" w:rsidP="00BB12BB">
      <w:pPr>
        <w:rPr>
          <w:color w:val="000000"/>
          <w:sz w:val="10"/>
          <w:szCs w:val="10"/>
        </w:rPr>
      </w:pPr>
    </w:p>
    <w:p w:rsidR="0092520D" w:rsidRDefault="0092520D" w:rsidP="00BB12BB">
      <w:pPr>
        <w:rPr>
          <w:color w:val="000000"/>
          <w:sz w:val="10"/>
          <w:szCs w:val="10"/>
        </w:rPr>
      </w:pPr>
    </w:p>
    <w:p w:rsidR="0092520D" w:rsidRDefault="0092520D" w:rsidP="00BB12BB">
      <w:pPr>
        <w:autoSpaceDE w:val="0"/>
        <w:autoSpaceDN w:val="0"/>
        <w:adjustRightInd w:val="0"/>
        <w:rPr>
          <w:b/>
          <w:color w:val="000000" w:themeColor="text1"/>
          <w:sz w:val="18"/>
          <w:szCs w:val="18"/>
        </w:rPr>
      </w:pPr>
      <w:r>
        <w:rPr>
          <w:b/>
          <w:color w:val="000000" w:themeColor="text1"/>
          <w:sz w:val="18"/>
          <w:szCs w:val="18"/>
        </w:rPr>
        <w:t>Further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0"/>
      </w:tblGrid>
      <w:tr w:rsidR="0092520D" w:rsidTr="0092520D">
        <w:tc>
          <w:tcPr>
            <w:tcW w:w="3331" w:type="dxa"/>
            <w:tcBorders>
              <w:top w:val="single" w:sz="4" w:space="0" w:color="auto"/>
              <w:left w:val="single" w:sz="4" w:space="0" w:color="auto"/>
              <w:bottom w:val="single" w:sz="4" w:space="0" w:color="auto"/>
              <w:right w:val="single" w:sz="4" w:space="0" w:color="auto"/>
            </w:tcBorders>
          </w:tcPr>
          <w:p w:rsidR="0092520D" w:rsidRPr="00EE4D79" w:rsidRDefault="0092520D" w:rsidP="00BB12BB">
            <w:pPr>
              <w:autoSpaceDE w:val="0"/>
              <w:autoSpaceDN w:val="0"/>
              <w:adjustRightInd w:val="0"/>
              <w:ind w:firstLine="357"/>
              <w:rPr>
                <w:color w:val="000000" w:themeColor="text1"/>
                <w:sz w:val="10"/>
                <w:szCs w:val="10"/>
              </w:rPr>
            </w:pPr>
          </w:p>
          <w:p w:rsidR="0092520D" w:rsidRDefault="0092520D" w:rsidP="00BB12BB">
            <w:pPr>
              <w:autoSpaceDE w:val="0"/>
              <w:autoSpaceDN w:val="0"/>
              <w:adjustRightInd w:val="0"/>
              <w:ind w:firstLine="357"/>
              <w:rPr>
                <w:color w:val="000000" w:themeColor="text1"/>
                <w:sz w:val="16"/>
              </w:rPr>
            </w:pPr>
            <w:r>
              <w:rPr>
                <w:color w:val="000000" w:themeColor="text1"/>
                <w:sz w:val="16"/>
              </w:rPr>
              <w:t>Meusburger Georg GmbH &amp; Co KG</w:t>
            </w:r>
          </w:p>
          <w:p w:rsidR="0092520D" w:rsidRDefault="0092520D" w:rsidP="00BB12BB">
            <w:pPr>
              <w:autoSpaceDE w:val="0"/>
              <w:autoSpaceDN w:val="0"/>
              <w:adjustRightInd w:val="0"/>
              <w:ind w:firstLine="357"/>
              <w:rPr>
                <w:color w:val="000000" w:themeColor="text1"/>
                <w:sz w:val="16"/>
              </w:rPr>
            </w:pPr>
            <w:r>
              <w:rPr>
                <w:color w:val="000000" w:themeColor="text1"/>
                <w:sz w:val="16"/>
              </w:rPr>
              <w:t>Communication / Public relations</w:t>
            </w:r>
          </w:p>
          <w:p w:rsidR="0092520D" w:rsidRDefault="0092520D" w:rsidP="00BB12BB">
            <w:pPr>
              <w:autoSpaceDE w:val="0"/>
              <w:autoSpaceDN w:val="0"/>
              <w:adjustRightInd w:val="0"/>
              <w:ind w:firstLine="357"/>
              <w:rPr>
                <w:color w:val="000000" w:themeColor="text1"/>
                <w:sz w:val="16"/>
              </w:rPr>
            </w:pPr>
            <w:r>
              <w:rPr>
                <w:color w:val="000000" w:themeColor="text1"/>
                <w:sz w:val="16"/>
              </w:rPr>
              <w:t>Phone: + 43 5574 6706-0</w:t>
            </w:r>
          </w:p>
          <w:p w:rsidR="0092520D" w:rsidRDefault="0092520D" w:rsidP="00BB12BB">
            <w:pPr>
              <w:autoSpaceDE w:val="0"/>
              <w:autoSpaceDN w:val="0"/>
              <w:adjustRightInd w:val="0"/>
              <w:ind w:firstLine="357"/>
              <w:rPr>
                <w:sz w:val="24"/>
                <w:szCs w:val="24"/>
              </w:rPr>
            </w:pPr>
            <w:r>
              <w:rPr>
                <w:color w:val="000000" w:themeColor="text1"/>
                <w:sz w:val="16"/>
              </w:rPr>
              <w:t>Email: press@meusburger.com</w:t>
            </w:r>
            <w:r>
              <w:fldChar w:fldCharType="begin"/>
            </w:r>
            <w:r>
              <w:instrText>presse@meusburger.com"</w:instrText>
            </w:r>
            <w:r>
              <w:fldChar w:fldCharType="separate"/>
            </w:r>
            <w:r>
              <w:rPr>
                <w:rStyle w:val="Hyperlink"/>
                <w:sz w:val="16"/>
              </w:rPr>
              <w:t>presse@meusburger.com</w:t>
            </w:r>
            <w:r>
              <w:fldChar w:fldCharType="end"/>
            </w:r>
          </w:p>
          <w:p w:rsidR="0092520D" w:rsidRDefault="00D3387A" w:rsidP="00BB12BB">
            <w:pPr>
              <w:autoSpaceDE w:val="0"/>
              <w:autoSpaceDN w:val="0"/>
              <w:adjustRightInd w:val="0"/>
              <w:ind w:firstLine="357"/>
              <w:rPr>
                <w:color w:val="000000" w:themeColor="text1"/>
                <w:sz w:val="16"/>
              </w:rPr>
            </w:pPr>
            <w:hyperlink r:id="rId13" w:history="1">
              <w:r w:rsidR="00B062C8">
                <w:rPr>
                  <w:rStyle w:val="Hyperlink"/>
                  <w:sz w:val="16"/>
                </w:rPr>
                <w:t>http://www.meusburger.com/en/press/press.html</w:t>
              </w:r>
            </w:hyperlink>
          </w:p>
          <w:p w:rsidR="0092520D" w:rsidRDefault="0092520D" w:rsidP="00BB12BB">
            <w:pPr>
              <w:autoSpaceDE w:val="0"/>
              <w:autoSpaceDN w:val="0"/>
              <w:adjustRightInd w:val="0"/>
              <w:ind w:firstLine="357"/>
              <w:rPr>
                <w:b/>
                <w:color w:val="000000" w:themeColor="text1"/>
                <w:sz w:val="10"/>
                <w:szCs w:val="10"/>
                <w:lang w:val="pt-PT"/>
              </w:rPr>
            </w:pPr>
          </w:p>
        </w:tc>
      </w:tr>
    </w:tbl>
    <w:p w:rsidR="00D55F91" w:rsidRPr="00EE4D79" w:rsidRDefault="00D55F91" w:rsidP="00FD22F1">
      <w:pPr>
        <w:autoSpaceDE w:val="0"/>
        <w:autoSpaceDN w:val="0"/>
        <w:adjustRightInd w:val="0"/>
        <w:rPr>
          <w:rStyle w:val="Standard1"/>
          <w:rFonts w:cs="Arial"/>
          <w:bCs w:val="0"/>
          <w:color w:val="575756"/>
          <w:sz w:val="22"/>
          <w:szCs w:val="22"/>
        </w:rPr>
      </w:pPr>
    </w:p>
    <w:sectPr w:rsidR="00D55F91" w:rsidRPr="00EE4D79" w:rsidSect="0084713F">
      <w:headerReference w:type="default" r:id="rId14"/>
      <w:pgSz w:w="11906" w:h="16838"/>
      <w:pgMar w:top="1418" w:right="1021" w:bottom="567" w:left="102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A05" w:rsidRDefault="00830A05" w:rsidP="009E748D">
      <w:pPr>
        <w:spacing w:line="240" w:lineRule="auto"/>
      </w:pPr>
      <w:r>
        <w:separator/>
      </w:r>
    </w:p>
  </w:endnote>
  <w:endnote w:type="continuationSeparator" w:id="0">
    <w:p w:rsidR="00830A05" w:rsidRDefault="00830A05"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A05" w:rsidRDefault="00830A05" w:rsidP="009E748D">
      <w:pPr>
        <w:spacing w:line="240" w:lineRule="auto"/>
      </w:pPr>
      <w:r>
        <w:separator/>
      </w:r>
    </w:p>
  </w:footnote>
  <w:footnote w:type="continuationSeparator" w:id="0">
    <w:p w:rsidR="00830A05" w:rsidRDefault="00830A05"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70" w:type="dxa"/>
        <w:right w:w="70" w:type="dxa"/>
      </w:tblCellMar>
      <w:tblLook w:val="04A0" w:firstRow="1" w:lastRow="0" w:firstColumn="1" w:lastColumn="0" w:noHBand="0" w:noVBand="1"/>
    </w:tblPr>
    <w:tblGrid>
      <w:gridCol w:w="8522"/>
      <w:gridCol w:w="1342"/>
    </w:tblGrid>
    <w:tr w:rsidR="009E748D" w:rsidRPr="009E748D" w:rsidTr="00272305">
      <w:tc>
        <w:tcPr>
          <w:tcW w:w="9142" w:type="dxa"/>
        </w:tcPr>
        <w:p w:rsidR="0092520D" w:rsidRDefault="00EE4D79" w:rsidP="0092520D">
          <w:pPr>
            <w:tabs>
              <w:tab w:val="left" w:pos="380"/>
              <w:tab w:val="left" w:pos="2705"/>
            </w:tabs>
            <w:suppressAutoHyphens/>
            <w:autoSpaceDE w:val="0"/>
            <w:autoSpaceDN w:val="0"/>
            <w:adjustRightInd w:val="0"/>
            <w:rPr>
              <w:b/>
              <w:color w:val="000000"/>
              <w:sz w:val="22"/>
            </w:rPr>
          </w:pPr>
          <w:r>
            <w:rPr>
              <w:b/>
              <w:color w:val="000000"/>
              <w:sz w:val="22"/>
            </w:rPr>
            <w:t xml:space="preserve">PRESS RELEASE </w:t>
          </w:r>
          <w:r w:rsidR="00D3387A">
            <w:rPr>
              <w:b/>
              <w:color w:val="000000"/>
              <w:sz w:val="22"/>
            </w:rPr>
            <w:t>04.12</w:t>
          </w:r>
          <w:r>
            <w:rPr>
              <w:b/>
              <w:color w:val="000000"/>
              <w:sz w:val="22"/>
            </w:rPr>
            <w:t>.</w:t>
          </w:r>
          <w:r w:rsidR="0092520D">
            <w:rPr>
              <w:b/>
              <w:color w:val="000000"/>
              <w:sz w:val="22"/>
            </w:rPr>
            <w:t>2018</w:t>
          </w:r>
        </w:p>
        <w:p w:rsidR="009E748D" w:rsidRPr="006D4716" w:rsidRDefault="0092520D" w:rsidP="006D4716">
          <w:pPr>
            <w:tabs>
              <w:tab w:val="left" w:pos="380"/>
              <w:tab w:val="left" w:pos="2705"/>
            </w:tabs>
            <w:suppressAutoHyphens/>
            <w:autoSpaceDE w:val="0"/>
            <w:autoSpaceDN w:val="0"/>
            <w:adjustRightInd w:val="0"/>
            <w:rPr>
              <w:sz w:val="24"/>
            </w:rPr>
          </w:pPr>
          <w:r>
            <w:rPr>
              <w:noProof/>
              <w:lang w:val="de-AT" w:eastAsia="de-AT"/>
            </w:rPr>
            <w:drawing>
              <wp:inline distT="0" distB="0" distL="0" distR="0">
                <wp:extent cx="1924050" cy="438150"/>
                <wp:effectExtent l="0" t="0" r="0" b="0"/>
                <wp:docPr id="1" name="Grafik 1" descr="LOGO+Slogan_Cmyk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Slogan_Cmyk_D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438150"/>
                        </a:xfrm>
                        <a:prstGeom prst="rect">
                          <a:avLst/>
                        </a:prstGeom>
                        <a:noFill/>
                        <a:ln>
                          <a:noFill/>
                        </a:ln>
                      </pic:spPr>
                    </pic:pic>
                  </a:graphicData>
                </a:graphic>
              </wp:inline>
            </w:drawing>
          </w:r>
        </w:p>
      </w:tc>
      <w:tc>
        <w:tcPr>
          <w:tcW w:w="1430" w:type="dxa"/>
        </w:tcPr>
        <w:p w:rsidR="009E748D" w:rsidRPr="009E748D" w:rsidRDefault="009E748D" w:rsidP="009E748D">
          <w:pPr>
            <w:pStyle w:val="Kopfzeile"/>
            <w:spacing w:line="276" w:lineRule="auto"/>
            <w:jc w:val="right"/>
            <w:rPr>
              <w:rFonts w:cs="Arial"/>
              <w:b/>
              <w:sz w:val="32"/>
            </w:rPr>
          </w:pPr>
        </w:p>
      </w:tc>
    </w:tr>
  </w:tbl>
  <w:p w:rsidR="009E748D" w:rsidRDefault="009E748D" w:rsidP="006D471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4A5C1C"/>
    <w:multiLevelType w:val="hybridMultilevel"/>
    <w:tmpl w:val="D4B499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0F66457"/>
    <w:multiLevelType w:val="hybridMultilevel"/>
    <w:tmpl w:val="3FF040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10F2A"/>
    <w:multiLevelType w:val="hybridMultilevel"/>
    <w:tmpl w:val="00BCA0FE"/>
    <w:lvl w:ilvl="0" w:tplc="79C0257C">
      <w:start w:val="101"/>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A05"/>
    <w:rsid w:val="00026B8F"/>
    <w:rsid w:val="00046F30"/>
    <w:rsid w:val="000544CB"/>
    <w:rsid w:val="00056CC8"/>
    <w:rsid w:val="00060CD1"/>
    <w:rsid w:val="000B09E5"/>
    <w:rsid w:val="000E7936"/>
    <w:rsid w:val="00112EB8"/>
    <w:rsid w:val="00114E8B"/>
    <w:rsid w:val="00137E96"/>
    <w:rsid w:val="00140B19"/>
    <w:rsid w:val="00150078"/>
    <w:rsid w:val="00176289"/>
    <w:rsid w:val="001836D4"/>
    <w:rsid w:val="001938F4"/>
    <w:rsid w:val="001C561A"/>
    <w:rsid w:val="001D02A2"/>
    <w:rsid w:val="001D60F7"/>
    <w:rsid w:val="001D6A2D"/>
    <w:rsid w:val="00215F7A"/>
    <w:rsid w:val="00245DD5"/>
    <w:rsid w:val="00272305"/>
    <w:rsid w:val="002870EB"/>
    <w:rsid w:val="002A5D2E"/>
    <w:rsid w:val="002E42C1"/>
    <w:rsid w:val="002F24CD"/>
    <w:rsid w:val="002F3EE8"/>
    <w:rsid w:val="00302EFD"/>
    <w:rsid w:val="00302F23"/>
    <w:rsid w:val="003177AD"/>
    <w:rsid w:val="00344719"/>
    <w:rsid w:val="00354F74"/>
    <w:rsid w:val="00385C27"/>
    <w:rsid w:val="003B4F83"/>
    <w:rsid w:val="003B702A"/>
    <w:rsid w:val="003B7F22"/>
    <w:rsid w:val="004337D9"/>
    <w:rsid w:val="004412A7"/>
    <w:rsid w:val="0044697A"/>
    <w:rsid w:val="00464997"/>
    <w:rsid w:val="00484C02"/>
    <w:rsid w:val="00496E72"/>
    <w:rsid w:val="004A52BE"/>
    <w:rsid w:val="004A5392"/>
    <w:rsid w:val="004C3D70"/>
    <w:rsid w:val="00512DC6"/>
    <w:rsid w:val="00525411"/>
    <w:rsid w:val="005305B2"/>
    <w:rsid w:val="00542500"/>
    <w:rsid w:val="00552BA2"/>
    <w:rsid w:val="005706C1"/>
    <w:rsid w:val="00596717"/>
    <w:rsid w:val="005A09D7"/>
    <w:rsid w:val="005A3D8C"/>
    <w:rsid w:val="005B0724"/>
    <w:rsid w:val="005B2784"/>
    <w:rsid w:val="005B3371"/>
    <w:rsid w:val="005E01D5"/>
    <w:rsid w:val="005F1C18"/>
    <w:rsid w:val="00601B88"/>
    <w:rsid w:val="00615BE5"/>
    <w:rsid w:val="0061718A"/>
    <w:rsid w:val="006326D6"/>
    <w:rsid w:val="00665298"/>
    <w:rsid w:val="00667DE4"/>
    <w:rsid w:val="00670B9F"/>
    <w:rsid w:val="0068440A"/>
    <w:rsid w:val="006D4716"/>
    <w:rsid w:val="006F0FDC"/>
    <w:rsid w:val="006F34DE"/>
    <w:rsid w:val="006F374B"/>
    <w:rsid w:val="007132B7"/>
    <w:rsid w:val="0076137F"/>
    <w:rsid w:val="007725C6"/>
    <w:rsid w:val="007A339C"/>
    <w:rsid w:val="007B7823"/>
    <w:rsid w:val="007C45CE"/>
    <w:rsid w:val="007C7490"/>
    <w:rsid w:val="007F3A10"/>
    <w:rsid w:val="00830A05"/>
    <w:rsid w:val="008320D6"/>
    <w:rsid w:val="0084713F"/>
    <w:rsid w:val="008476DC"/>
    <w:rsid w:val="008E07DD"/>
    <w:rsid w:val="008F2488"/>
    <w:rsid w:val="00907892"/>
    <w:rsid w:val="0092520D"/>
    <w:rsid w:val="00925E5E"/>
    <w:rsid w:val="009325B3"/>
    <w:rsid w:val="00966BE0"/>
    <w:rsid w:val="009768FF"/>
    <w:rsid w:val="00984271"/>
    <w:rsid w:val="009B41CF"/>
    <w:rsid w:val="009C587E"/>
    <w:rsid w:val="009D486D"/>
    <w:rsid w:val="009E748D"/>
    <w:rsid w:val="00A15D00"/>
    <w:rsid w:val="00A507D7"/>
    <w:rsid w:val="00A54893"/>
    <w:rsid w:val="00A55918"/>
    <w:rsid w:val="00A809E1"/>
    <w:rsid w:val="00A865D3"/>
    <w:rsid w:val="00AA1851"/>
    <w:rsid w:val="00AA69A2"/>
    <w:rsid w:val="00AB501F"/>
    <w:rsid w:val="00AC3E86"/>
    <w:rsid w:val="00AC4A44"/>
    <w:rsid w:val="00AD09C2"/>
    <w:rsid w:val="00B062C8"/>
    <w:rsid w:val="00B1759D"/>
    <w:rsid w:val="00B219D5"/>
    <w:rsid w:val="00B27F24"/>
    <w:rsid w:val="00B64F28"/>
    <w:rsid w:val="00B7195A"/>
    <w:rsid w:val="00B74E46"/>
    <w:rsid w:val="00B95A80"/>
    <w:rsid w:val="00BA41BF"/>
    <w:rsid w:val="00BA7533"/>
    <w:rsid w:val="00BB12BB"/>
    <w:rsid w:val="00BD41DF"/>
    <w:rsid w:val="00BF1896"/>
    <w:rsid w:val="00BF7500"/>
    <w:rsid w:val="00C06C90"/>
    <w:rsid w:val="00C251D2"/>
    <w:rsid w:val="00C2742A"/>
    <w:rsid w:val="00C34A25"/>
    <w:rsid w:val="00C41625"/>
    <w:rsid w:val="00CA40AB"/>
    <w:rsid w:val="00CB551C"/>
    <w:rsid w:val="00CC2982"/>
    <w:rsid w:val="00CC5BD4"/>
    <w:rsid w:val="00CD4D7D"/>
    <w:rsid w:val="00CE5D56"/>
    <w:rsid w:val="00D10EE4"/>
    <w:rsid w:val="00D10FB7"/>
    <w:rsid w:val="00D247F6"/>
    <w:rsid w:val="00D3305E"/>
    <w:rsid w:val="00D3387A"/>
    <w:rsid w:val="00D40946"/>
    <w:rsid w:val="00D41CA2"/>
    <w:rsid w:val="00D43E07"/>
    <w:rsid w:val="00D54913"/>
    <w:rsid w:val="00D55F91"/>
    <w:rsid w:val="00D5672B"/>
    <w:rsid w:val="00DA0142"/>
    <w:rsid w:val="00DD3089"/>
    <w:rsid w:val="00DF5302"/>
    <w:rsid w:val="00DF5C96"/>
    <w:rsid w:val="00DF75CE"/>
    <w:rsid w:val="00E14E44"/>
    <w:rsid w:val="00E3156E"/>
    <w:rsid w:val="00E85396"/>
    <w:rsid w:val="00EB150B"/>
    <w:rsid w:val="00EC581B"/>
    <w:rsid w:val="00EE4D79"/>
    <w:rsid w:val="00EE5DFA"/>
    <w:rsid w:val="00F07D82"/>
    <w:rsid w:val="00F337BD"/>
    <w:rsid w:val="00F366FF"/>
    <w:rsid w:val="00F43A59"/>
    <w:rsid w:val="00F67053"/>
    <w:rsid w:val="00F91AFF"/>
    <w:rsid w:val="00F95EE7"/>
    <w:rsid w:val="00F968B5"/>
    <w:rsid w:val="00FB1F40"/>
    <w:rsid w:val="00FD22F1"/>
    <w:rsid w:val="00FE7149"/>
    <w:rsid w:val="00FE7821"/>
    <w:rsid w:val="00FF2D81"/>
    <w:rsid w:val="00FF33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3A697AF"/>
  <w15:chartTrackingRefBased/>
  <w15:docId w15:val="{BF88F89F-2386-4CEC-B310-6888494A6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iPriority w:val="99"/>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20449">
      <w:bodyDiv w:val="1"/>
      <w:marLeft w:val="0"/>
      <w:marRight w:val="0"/>
      <w:marTop w:val="0"/>
      <w:marBottom w:val="0"/>
      <w:divBdr>
        <w:top w:val="none" w:sz="0" w:space="0" w:color="auto"/>
        <w:left w:val="none" w:sz="0" w:space="0" w:color="auto"/>
        <w:bottom w:val="none" w:sz="0" w:space="0" w:color="auto"/>
        <w:right w:val="none" w:sz="0" w:space="0" w:color="auto"/>
      </w:divBdr>
    </w:div>
    <w:div w:id="1115716412">
      <w:bodyDiv w:val="1"/>
      <w:marLeft w:val="0"/>
      <w:marRight w:val="0"/>
      <w:marTop w:val="0"/>
      <w:marBottom w:val="0"/>
      <w:divBdr>
        <w:top w:val="none" w:sz="0" w:space="0" w:color="auto"/>
        <w:left w:val="none" w:sz="0" w:space="0" w:color="auto"/>
        <w:bottom w:val="none" w:sz="0" w:space="0" w:color="auto"/>
        <w:right w:val="none" w:sz="0" w:space="0" w:color="auto"/>
      </w:divBdr>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eusburger.com/en/press/press.htm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2.xml><?xml version="1.0" encoding="utf-8"?>
<ds:datastoreItem xmlns:ds="http://schemas.openxmlformats.org/officeDocument/2006/customXml" ds:itemID="{338867CD-7040-4A24-B68E-A4458EFB02F5}">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1c633809-d045-4759-b659-fbc416dcbd7a"/>
    <ds:schemaRef ds:uri="http://schemas.microsoft.com/office/2006/documentManagement/types"/>
    <ds:schemaRef ds:uri="13210ff9-5087-4253-be09-b07114560a7d"/>
    <ds:schemaRef ds:uri="http://www.w3.org/XML/1998/namespace"/>
    <ds:schemaRef ds:uri="http://purl.org/dc/dcmitype/"/>
  </ds:schemaRefs>
</ds:datastoreItem>
</file>

<file path=customXml/itemProps3.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4.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647</Words>
  <Characters>4077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Meusburger GmbH &amp; Co KG</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Steurer Eveline</dc:creator>
  <cp:keywords/>
  <dc:description/>
  <cp:lastModifiedBy>Steurer Eveline</cp:lastModifiedBy>
  <cp:revision>16</cp:revision>
  <dcterms:created xsi:type="dcterms:W3CDTF">2018-11-15T11:57:00Z</dcterms:created>
  <dcterms:modified xsi:type="dcterms:W3CDTF">2018-11-29T15:04:00Z</dcterms:modified>
</cp:coreProperties>
</file>